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F0BEB4" w14:textId="77777777" w:rsidR="009E192E" w:rsidRDefault="009E192E" w:rsidP="00116713">
      <w:pPr>
        <w:jc w:val="center"/>
        <w:rPr>
          <w:b/>
          <w:sz w:val="28"/>
          <w:szCs w:val="28"/>
          <w:u w:val="single"/>
        </w:rPr>
      </w:pPr>
    </w:p>
    <w:p w14:paraId="4844E10B" w14:textId="4D3BC253" w:rsidR="00FC302A" w:rsidRDefault="009E192E" w:rsidP="00FC302A">
      <w:pPr>
        <w:jc w:val="center"/>
        <w:rPr>
          <w:b/>
          <w:sz w:val="28"/>
          <w:szCs w:val="28"/>
          <w:u w:val="single"/>
        </w:rPr>
      </w:pPr>
      <w:r>
        <w:rPr>
          <w:noProof/>
          <w:lang w:val="es-ES_tradnl" w:eastAsia="es-ES_tradnl"/>
        </w:rPr>
        <w:drawing>
          <wp:inline distT="0" distB="0" distL="0" distR="0" wp14:anchorId="3768C055" wp14:editId="139F607C">
            <wp:extent cx="2976205" cy="896791"/>
            <wp:effectExtent l="0" t="0" r="0" b="5080"/>
            <wp:docPr id="3" name="Imagen 3" descr="Mesa EspaÃ±ola de la Bicicle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esa EspaÃ±ola de la Bicicleta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1396" cy="1024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9AC3EC" w14:textId="77777777" w:rsidR="00FC302A" w:rsidRDefault="00FC302A" w:rsidP="00FC302A">
      <w:pPr>
        <w:jc w:val="center"/>
        <w:rPr>
          <w:b/>
          <w:sz w:val="28"/>
          <w:szCs w:val="28"/>
          <w:u w:val="single"/>
        </w:rPr>
      </w:pPr>
    </w:p>
    <w:p w14:paraId="73237799" w14:textId="77777777" w:rsidR="00FC302A" w:rsidRPr="00FC302A" w:rsidRDefault="00FC302A" w:rsidP="00116713">
      <w:pPr>
        <w:jc w:val="center"/>
        <w:rPr>
          <w:b/>
          <w:sz w:val="40"/>
          <w:szCs w:val="40"/>
        </w:rPr>
      </w:pPr>
      <w:r w:rsidRPr="00FC302A">
        <w:rPr>
          <w:b/>
          <w:sz w:val="40"/>
          <w:szCs w:val="40"/>
        </w:rPr>
        <w:t>NOTA DE PRENSA</w:t>
      </w:r>
    </w:p>
    <w:p w14:paraId="020FCBE6" w14:textId="19C3E7E1" w:rsidR="00FC302A" w:rsidRDefault="009E192E" w:rsidP="00FC302A">
      <w:pPr>
        <w:jc w:val="center"/>
        <w:rPr>
          <w:b/>
          <w:sz w:val="40"/>
          <w:szCs w:val="40"/>
          <w:u w:val="single"/>
        </w:rPr>
      </w:pPr>
      <w:r w:rsidRPr="00FC302A">
        <w:rPr>
          <w:b/>
          <w:color w:val="00B050"/>
          <w:sz w:val="40"/>
          <w:szCs w:val="40"/>
          <w:u w:val="single"/>
        </w:rPr>
        <w:t xml:space="preserve">MESA ESPAÑOLA DE LA BICICLETA </w:t>
      </w:r>
    </w:p>
    <w:p w14:paraId="0BA359F7" w14:textId="77777777" w:rsidR="00FC302A" w:rsidRPr="00FC302A" w:rsidRDefault="00FC302A" w:rsidP="00FC302A">
      <w:pPr>
        <w:jc w:val="center"/>
        <w:rPr>
          <w:b/>
          <w:sz w:val="40"/>
          <w:szCs w:val="40"/>
          <w:u w:val="single"/>
        </w:rPr>
      </w:pPr>
    </w:p>
    <w:p w14:paraId="60550882" w14:textId="09BE4AAF" w:rsidR="00FC302A" w:rsidRPr="00FC302A" w:rsidRDefault="00FC302A" w:rsidP="00FC302A">
      <w:pPr>
        <w:jc w:val="left"/>
        <w:rPr>
          <w:b/>
          <w:bCs/>
          <w:color w:val="000000" w:themeColor="text1"/>
          <w:sz w:val="24"/>
          <w:szCs w:val="24"/>
        </w:rPr>
      </w:pPr>
      <w:r w:rsidRPr="00FC302A">
        <w:rPr>
          <w:b/>
          <w:bCs/>
          <w:color w:val="000000" w:themeColor="text1"/>
          <w:sz w:val="24"/>
          <w:szCs w:val="24"/>
        </w:rPr>
        <w:t>Madrid, 23 de junio de 2021</w:t>
      </w:r>
    </w:p>
    <w:p w14:paraId="32DFA282" w14:textId="77777777" w:rsidR="00FE65D0" w:rsidRDefault="00FE65D0" w:rsidP="00FC302A">
      <w:pPr>
        <w:rPr>
          <w:sz w:val="24"/>
          <w:szCs w:val="24"/>
        </w:rPr>
      </w:pPr>
    </w:p>
    <w:p w14:paraId="64A8EB85" w14:textId="78B3DD3C" w:rsidR="00FC302A" w:rsidRPr="00FC302A" w:rsidRDefault="009E192E" w:rsidP="00FC302A">
      <w:pPr>
        <w:rPr>
          <w:sz w:val="24"/>
          <w:szCs w:val="24"/>
        </w:rPr>
      </w:pPr>
      <w:r w:rsidRPr="00FC302A">
        <w:rPr>
          <w:sz w:val="24"/>
          <w:szCs w:val="24"/>
        </w:rPr>
        <w:t>La</w:t>
      </w:r>
      <w:r w:rsidRPr="00FC302A">
        <w:rPr>
          <w:b/>
          <w:sz w:val="24"/>
          <w:szCs w:val="24"/>
        </w:rPr>
        <w:t xml:space="preserve"> </w:t>
      </w:r>
      <w:r>
        <w:rPr>
          <w:b/>
          <w:color w:val="00B050"/>
          <w:sz w:val="24"/>
          <w:szCs w:val="24"/>
        </w:rPr>
        <w:t xml:space="preserve">Mesa Española de la Bicicleta </w:t>
      </w:r>
      <w:r w:rsidR="00FC302A" w:rsidRPr="00FC302A">
        <w:rPr>
          <w:sz w:val="24"/>
          <w:szCs w:val="24"/>
        </w:rPr>
        <w:t xml:space="preserve">considera necesario y urgente salir al paso de parte del contenido del Dictamen 2/2021 del Fiscal de Sala Coordinador de Seguridad Vial, que culminan una campaña de desprestigio contra el uso de los Vehículos de Movilidad Personal (VMP), y de paso incluye también a las bicicletas, pese a tratarse de vehículos totalmente distintos. </w:t>
      </w:r>
    </w:p>
    <w:p w14:paraId="3F602788" w14:textId="6D950B8E" w:rsidR="00FC302A" w:rsidRPr="00FC302A" w:rsidRDefault="00FC302A" w:rsidP="00FC302A">
      <w:pPr>
        <w:rPr>
          <w:sz w:val="24"/>
          <w:szCs w:val="24"/>
        </w:rPr>
      </w:pPr>
      <w:r w:rsidRPr="00FC302A">
        <w:rPr>
          <w:sz w:val="24"/>
          <w:szCs w:val="24"/>
        </w:rPr>
        <w:t>El Dictamen de la Fiscalía 2/20</w:t>
      </w:r>
      <w:r w:rsidR="0035010B">
        <w:rPr>
          <w:sz w:val="24"/>
          <w:szCs w:val="24"/>
        </w:rPr>
        <w:t>2</w:t>
      </w:r>
      <w:r w:rsidRPr="00FC302A">
        <w:rPr>
          <w:sz w:val="24"/>
          <w:szCs w:val="24"/>
        </w:rPr>
        <w:t xml:space="preserve">1 crea una alarma social apuntando directamente a los usuarios de VMP y bicicletas con desacertados argumentos, impropios de esa institución. </w:t>
      </w:r>
    </w:p>
    <w:p w14:paraId="51BCF82A" w14:textId="7CABA8D4" w:rsidR="00FC302A" w:rsidRPr="00FC302A" w:rsidRDefault="00FC302A" w:rsidP="00FC302A">
      <w:pPr>
        <w:rPr>
          <w:sz w:val="24"/>
          <w:szCs w:val="24"/>
        </w:rPr>
      </w:pPr>
      <w:r w:rsidRPr="00FC302A">
        <w:rPr>
          <w:sz w:val="24"/>
          <w:szCs w:val="24"/>
        </w:rPr>
        <w:t xml:space="preserve">Reclama la aplicación de una Directiva europea sobre homologación de vehículos, ignorando que los VMP y las bicicletas (eléctricas o no) están excluidos de su ámbito. Si se comercializan los VMP con una potencia no autorizada es un problema de la Administración inspectora, no del usuario. </w:t>
      </w:r>
    </w:p>
    <w:p w14:paraId="01727454" w14:textId="6572DBC2" w:rsidR="00FC302A" w:rsidRPr="00FC302A" w:rsidRDefault="00FC302A" w:rsidP="00FC302A">
      <w:pPr>
        <w:rPr>
          <w:sz w:val="24"/>
          <w:szCs w:val="24"/>
        </w:rPr>
      </w:pPr>
      <w:r w:rsidRPr="00FC302A">
        <w:rPr>
          <w:sz w:val="24"/>
          <w:szCs w:val="24"/>
        </w:rPr>
        <w:t>Señala el Dictamen que se comercializan las bicicletas y los VMP sin ninguna cautela, como si se trataran de “balones de baloncesto”. En el caso de la venta de bicicletas</w:t>
      </w:r>
      <w:r w:rsidR="00DF010B">
        <w:rPr>
          <w:sz w:val="24"/>
          <w:szCs w:val="24"/>
        </w:rPr>
        <w:t>, se encuentran totalmente reguladas y homologadas conforme a una estricta regulación europea.</w:t>
      </w:r>
    </w:p>
    <w:p w14:paraId="5FB71D9B" w14:textId="5B84924C" w:rsidR="00FC302A" w:rsidRPr="00FC302A" w:rsidRDefault="00FC302A" w:rsidP="00FC302A">
      <w:pPr>
        <w:rPr>
          <w:sz w:val="24"/>
          <w:szCs w:val="24"/>
        </w:rPr>
      </w:pPr>
      <w:r w:rsidRPr="00FC302A">
        <w:rPr>
          <w:sz w:val="24"/>
          <w:szCs w:val="24"/>
        </w:rPr>
        <w:t xml:space="preserve">Apunta el Dictamen la necesidad de aclarar qué tipo de vehículos son los VMP y las bicicletas eléctricas, cuando está clara la definición de </w:t>
      </w:r>
      <w:proofErr w:type="gramStart"/>
      <w:r w:rsidRPr="00FC302A">
        <w:rPr>
          <w:sz w:val="24"/>
          <w:szCs w:val="24"/>
        </w:rPr>
        <w:t>los mismos</w:t>
      </w:r>
      <w:proofErr w:type="gramEnd"/>
      <w:r w:rsidRPr="00FC302A">
        <w:rPr>
          <w:sz w:val="24"/>
          <w:szCs w:val="24"/>
        </w:rPr>
        <w:t xml:space="preserve"> en la normativa europea y en la española. Destaca, además, la relevancia que ello tiene para el control de la conducción bajo los efectos de alcohol y drogas, vinculando ciclistas con alcohol y </w:t>
      </w:r>
      <w:r w:rsidRPr="00FC302A">
        <w:rPr>
          <w:sz w:val="24"/>
          <w:szCs w:val="24"/>
        </w:rPr>
        <w:lastRenderedPageBreak/>
        <w:t xml:space="preserve">drogas, cuando sabe perfectamente la Fiscalía que desde hace tiempo están sujetos a ese control todos los conductores de vehículos, motorizados o no, incluidos los ciclistas. </w:t>
      </w:r>
    </w:p>
    <w:p w14:paraId="4CC61768" w14:textId="50901193" w:rsidR="00FC302A" w:rsidRPr="00FC302A" w:rsidRDefault="00FC302A" w:rsidP="00FC302A">
      <w:pPr>
        <w:rPr>
          <w:sz w:val="24"/>
          <w:szCs w:val="24"/>
        </w:rPr>
      </w:pPr>
      <w:r w:rsidRPr="00FC302A">
        <w:rPr>
          <w:sz w:val="24"/>
          <w:szCs w:val="24"/>
        </w:rPr>
        <w:t xml:space="preserve">Por último, la Fiscalía se apunta a la campaña del seguro obligatorio para </w:t>
      </w:r>
      <w:r w:rsidR="00FE65D0">
        <w:rPr>
          <w:sz w:val="24"/>
          <w:szCs w:val="24"/>
        </w:rPr>
        <w:t>V</w:t>
      </w:r>
      <w:r w:rsidRPr="00FC302A">
        <w:rPr>
          <w:sz w:val="24"/>
          <w:szCs w:val="24"/>
        </w:rPr>
        <w:t xml:space="preserve">MP y bicicletas, tan cercana a las compañías de seguros y tan alejada del modelo europeo al que dice el Dictamen que tenemos que apuntar. </w:t>
      </w:r>
      <w:r w:rsidR="00FE65D0">
        <w:rPr>
          <w:sz w:val="24"/>
          <w:szCs w:val="24"/>
        </w:rPr>
        <w:t>Por su parte, la Unión Europea a</w:t>
      </w:r>
      <w:r w:rsidRPr="00FC302A">
        <w:rPr>
          <w:sz w:val="24"/>
          <w:szCs w:val="24"/>
        </w:rPr>
        <w:t>caba de pronunciarse sobre la no obligatoriedad del seguro para bicicletas eléctricas.</w:t>
      </w:r>
    </w:p>
    <w:p w14:paraId="667CC453" w14:textId="1E9F368B" w:rsidR="00FC302A" w:rsidRDefault="00FC302A" w:rsidP="00FC302A">
      <w:pPr>
        <w:rPr>
          <w:sz w:val="24"/>
          <w:szCs w:val="24"/>
        </w:rPr>
      </w:pPr>
      <w:r w:rsidRPr="00FC302A">
        <w:rPr>
          <w:sz w:val="24"/>
          <w:szCs w:val="24"/>
        </w:rPr>
        <w:t xml:space="preserve">La Mesa Española de la Bicicleta reclama que no se estigmatice al ciclista, que se controle a los falsos VMP, que perjudican tanto a peatones como a ciclistas, y que se adecue la red vial a una movilidad sostenible. </w:t>
      </w:r>
    </w:p>
    <w:p w14:paraId="5CFC2778" w14:textId="3D940CE0" w:rsidR="00A54984" w:rsidRPr="00FC302A" w:rsidRDefault="00A54984" w:rsidP="00FC302A">
      <w:pPr>
        <w:rPr>
          <w:sz w:val="24"/>
          <w:szCs w:val="24"/>
        </w:rPr>
      </w:pPr>
      <w:r w:rsidRPr="00FC302A">
        <w:rPr>
          <w:sz w:val="24"/>
          <w:szCs w:val="24"/>
        </w:rPr>
        <w:t>La</w:t>
      </w:r>
      <w:r w:rsidRPr="00FC302A">
        <w:rPr>
          <w:b/>
          <w:sz w:val="24"/>
          <w:szCs w:val="24"/>
        </w:rPr>
        <w:t xml:space="preserve"> </w:t>
      </w:r>
      <w:r>
        <w:rPr>
          <w:b/>
          <w:color w:val="00B050"/>
          <w:sz w:val="24"/>
          <w:szCs w:val="24"/>
        </w:rPr>
        <w:t xml:space="preserve">Mesa Española de la Bicicleta </w:t>
      </w:r>
      <w:r>
        <w:rPr>
          <w:sz w:val="24"/>
          <w:szCs w:val="24"/>
        </w:rPr>
        <w:t>está f</w:t>
      </w:r>
      <w:r w:rsidRPr="00FC302A">
        <w:rPr>
          <w:sz w:val="24"/>
          <w:szCs w:val="24"/>
        </w:rPr>
        <w:t>ormada por</w:t>
      </w:r>
      <w:r>
        <w:rPr>
          <w:sz w:val="24"/>
          <w:szCs w:val="24"/>
        </w:rPr>
        <w:t xml:space="preserve"> la Asociación de Ciclistas Profesionales (</w:t>
      </w:r>
      <w:r w:rsidRPr="00FC302A">
        <w:rPr>
          <w:b/>
          <w:bCs/>
          <w:sz w:val="24"/>
          <w:szCs w:val="24"/>
        </w:rPr>
        <w:t>ACP</w:t>
      </w:r>
      <w:r>
        <w:rPr>
          <w:sz w:val="24"/>
          <w:szCs w:val="24"/>
        </w:rPr>
        <w:t>), la Asociación de Marcas y Bicicletas de España (</w:t>
      </w:r>
      <w:r w:rsidRPr="00FC302A">
        <w:rPr>
          <w:b/>
          <w:bCs/>
          <w:sz w:val="24"/>
          <w:szCs w:val="24"/>
        </w:rPr>
        <w:t>AMBE</w:t>
      </w:r>
      <w:r>
        <w:rPr>
          <w:sz w:val="24"/>
          <w:szCs w:val="24"/>
        </w:rPr>
        <w:t xml:space="preserve">), </w:t>
      </w:r>
      <w:proofErr w:type="spellStart"/>
      <w:r w:rsidRPr="00FC302A">
        <w:rPr>
          <w:b/>
          <w:bCs/>
          <w:sz w:val="24"/>
          <w:szCs w:val="24"/>
        </w:rPr>
        <w:t>Ciclojuristas</w:t>
      </w:r>
      <w:proofErr w:type="spellEnd"/>
      <w:r>
        <w:rPr>
          <w:sz w:val="24"/>
          <w:szCs w:val="24"/>
        </w:rPr>
        <w:t xml:space="preserve">, la International Mountain </w:t>
      </w:r>
      <w:proofErr w:type="spellStart"/>
      <w:r>
        <w:rPr>
          <w:sz w:val="24"/>
          <w:szCs w:val="24"/>
        </w:rPr>
        <w:t>Bicycling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Association</w:t>
      </w:r>
      <w:proofErr w:type="spellEnd"/>
      <w:r>
        <w:rPr>
          <w:sz w:val="24"/>
          <w:szCs w:val="24"/>
        </w:rPr>
        <w:t xml:space="preserve"> España (</w:t>
      </w:r>
      <w:r w:rsidRPr="00FC302A">
        <w:rPr>
          <w:b/>
          <w:bCs/>
          <w:sz w:val="24"/>
          <w:szCs w:val="24"/>
        </w:rPr>
        <w:t>IMBA</w:t>
      </w:r>
      <w:r>
        <w:rPr>
          <w:sz w:val="24"/>
          <w:szCs w:val="24"/>
        </w:rPr>
        <w:t>) y la Real Federación Española de Ciclismo (</w:t>
      </w:r>
      <w:r w:rsidRPr="00FC302A">
        <w:rPr>
          <w:b/>
          <w:bCs/>
          <w:sz w:val="24"/>
          <w:szCs w:val="24"/>
        </w:rPr>
        <w:t>RFEC</w:t>
      </w:r>
      <w:r>
        <w:rPr>
          <w:sz w:val="24"/>
          <w:szCs w:val="24"/>
        </w:rPr>
        <w:t>).</w:t>
      </w:r>
    </w:p>
    <w:p w14:paraId="536DD3F2" w14:textId="41FF0566" w:rsidR="000D58F2" w:rsidRDefault="000D58F2" w:rsidP="00FE65D0">
      <w:pPr>
        <w:spacing w:line="240" w:lineRule="auto"/>
        <w:rPr>
          <w:color w:val="0D0D0D" w:themeColor="text1" w:themeTint="F2"/>
        </w:rPr>
      </w:pPr>
    </w:p>
    <w:p w14:paraId="6F7F0174" w14:textId="1BE7FE29" w:rsidR="00FE65D0" w:rsidRPr="00FE65D0" w:rsidRDefault="00FE65D0" w:rsidP="00FE65D0">
      <w:pPr>
        <w:spacing w:line="240" w:lineRule="auto"/>
        <w:jc w:val="left"/>
        <w:rPr>
          <w:b/>
          <w:bCs/>
          <w:color w:val="0D0D0D" w:themeColor="text1" w:themeTint="F2"/>
          <w:sz w:val="24"/>
          <w:szCs w:val="24"/>
        </w:rPr>
      </w:pPr>
      <w:r w:rsidRPr="00FE65D0">
        <w:rPr>
          <w:b/>
          <w:bCs/>
          <w:color w:val="0D0D0D" w:themeColor="text1" w:themeTint="F2"/>
          <w:sz w:val="24"/>
          <w:szCs w:val="24"/>
        </w:rPr>
        <w:t>Contacto de prensa:</w:t>
      </w:r>
    </w:p>
    <w:p w14:paraId="70EB0156" w14:textId="77777777" w:rsidR="00FE65D0" w:rsidRDefault="00FE65D0" w:rsidP="00FE65D0">
      <w:pPr>
        <w:jc w:val="left"/>
        <w:rPr>
          <w:color w:val="0D0D0D" w:themeColor="text1" w:themeTint="F2"/>
          <w:sz w:val="24"/>
          <w:szCs w:val="24"/>
        </w:rPr>
      </w:pPr>
      <w:r>
        <w:rPr>
          <w:color w:val="0D0D0D" w:themeColor="text1" w:themeTint="F2"/>
          <w:sz w:val="24"/>
          <w:szCs w:val="24"/>
        </w:rPr>
        <w:t>Jesús Freire Valderrama</w:t>
      </w:r>
    </w:p>
    <w:p w14:paraId="0917D7DD" w14:textId="74CCD3EC" w:rsidR="00FE65D0" w:rsidRDefault="00FE65D0" w:rsidP="00FE65D0">
      <w:pPr>
        <w:jc w:val="left"/>
        <w:rPr>
          <w:color w:val="0D0D0D" w:themeColor="text1" w:themeTint="F2"/>
          <w:sz w:val="24"/>
          <w:szCs w:val="24"/>
        </w:rPr>
      </w:pPr>
      <w:r>
        <w:rPr>
          <w:color w:val="0D0D0D" w:themeColor="text1" w:themeTint="F2"/>
          <w:sz w:val="24"/>
          <w:szCs w:val="24"/>
        </w:rPr>
        <w:t>655 82 40 85</w:t>
      </w:r>
    </w:p>
    <w:p w14:paraId="53A1826B" w14:textId="08C7B191" w:rsidR="00FE65D0" w:rsidRPr="00FE65D0" w:rsidRDefault="00FE65D0" w:rsidP="00FE65D0">
      <w:pPr>
        <w:jc w:val="left"/>
        <w:rPr>
          <w:color w:val="0D0D0D" w:themeColor="text1" w:themeTint="F2"/>
          <w:sz w:val="24"/>
          <w:szCs w:val="24"/>
        </w:rPr>
      </w:pPr>
      <w:r>
        <w:rPr>
          <w:color w:val="0D0D0D" w:themeColor="text1" w:themeTint="F2"/>
          <w:sz w:val="24"/>
          <w:szCs w:val="24"/>
        </w:rPr>
        <w:t>jesus@asociacionambe.com</w:t>
      </w:r>
    </w:p>
    <w:sectPr w:rsidR="00FE65D0" w:rsidRPr="00FE65D0" w:rsidSect="00BA5159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4B0BE0"/>
    <w:multiLevelType w:val="hybridMultilevel"/>
    <w:tmpl w:val="5EA2BFA6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B950ED"/>
    <w:multiLevelType w:val="hybridMultilevel"/>
    <w:tmpl w:val="C52E27AC"/>
    <w:lvl w:ilvl="0" w:tplc="F3048FF2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  <w:sz w:val="23"/>
      </w:rPr>
    </w:lvl>
    <w:lvl w:ilvl="1" w:tplc="040A0019" w:tentative="1">
      <w:start w:val="1"/>
      <w:numFmt w:val="lowerLetter"/>
      <w:lvlText w:val="%2."/>
      <w:lvlJc w:val="left"/>
      <w:pPr>
        <w:ind w:left="1788" w:hanging="360"/>
      </w:pPr>
    </w:lvl>
    <w:lvl w:ilvl="2" w:tplc="040A001B" w:tentative="1">
      <w:start w:val="1"/>
      <w:numFmt w:val="lowerRoman"/>
      <w:lvlText w:val="%3."/>
      <w:lvlJc w:val="right"/>
      <w:pPr>
        <w:ind w:left="2508" w:hanging="180"/>
      </w:pPr>
    </w:lvl>
    <w:lvl w:ilvl="3" w:tplc="040A000F" w:tentative="1">
      <w:start w:val="1"/>
      <w:numFmt w:val="decimal"/>
      <w:lvlText w:val="%4."/>
      <w:lvlJc w:val="left"/>
      <w:pPr>
        <w:ind w:left="3228" w:hanging="360"/>
      </w:pPr>
    </w:lvl>
    <w:lvl w:ilvl="4" w:tplc="040A0019" w:tentative="1">
      <w:start w:val="1"/>
      <w:numFmt w:val="lowerLetter"/>
      <w:lvlText w:val="%5."/>
      <w:lvlJc w:val="left"/>
      <w:pPr>
        <w:ind w:left="3948" w:hanging="360"/>
      </w:pPr>
    </w:lvl>
    <w:lvl w:ilvl="5" w:tplc="040A001B" w:tentative="1">
      <w:start w:val="1"/>
      <w:numFmt w:val="lowerRoman"/>
      <w:lvlText w:val="%6."/>
      <w:lvlJc w:val="right"/>
      <w:pPr>
        <w:ind w:left="4668" w:hanging="180"/>
      </w:pPr>
    </w:lvl>
    <w:lvl w:ilvl="6" w:tplc="040A000F" w:tentative="1">
      <w:start w:val="1"/>
      <w:numFmt w:val="decimal"/>
      <w:lvlText w:val="%7."/>
      <w:lvlJc w:val="left"/>
      <w:pPr>
        <w:ind w:left="5388" w:hanging="360"/>
      </w:pPr>
    </w:lvl>
    <w:lvl w:ilvl="7" w:tplc="040A0019" w:tentative="1">
      <w:start w:val="1"/>
      <w:numFmt w:val="lowerLetter"/>
      <w:lvlText w:val="%8."/>
      <w:lvlJc w:val="left"/>
      <w:pPr>
        <w:ind w:left="6108" w:hanging="360"/>
      </w:pPr>
    </w:lvl>
    <w:lvl w:ilvl="8" w:tplc="04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1A47EFC"/>
    <w:multiLevelType w:val="hybridMultilevel"/>
    <w:tmpl w:val="26447E3C"/>
    <w:lvl w:ilvl="0" w:tplc="43F4497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788" w:hanging="360"/>
      </w:pPr>
    </w:lvl>
    <w:lvl w:ilvl="2" w:tplc="040A001B" w:tentative="1">
      <w:start w:val="1"/>
      <w:numFmt w:val="lowerRoman"/>
      <w:lvlText w:val="%3."/>
      <w:lvlJc w:val="right"/>
      <w:pPr>
        <w:ind w:left="2508" w:hanging="180"/>
      </w:pPr>
    </w:lvl>
    <w:lvl w:ilvl="3" w:tplc="040A000F" w:tentative="1">
      <w:start w:val="1"/>
      <w:numFmt w:val="decimal"/>
      <w:lvlText w:val="%4."/>
      <w:lvlJc w:val="left"/>
      <w:pPr>
        <w:ind w:left="3228" w:hanging="360"/>
      </w:pPr>
    </w:lvl>
    <w:lvl w:ilvl="4" w:tplc="040A0019" w:tentative="1">
      <w:start w:val="1"/>
      <w:numFmt w:val="lowerLetter"/>
      <w:lvlText w:val="%5."/>
      <w:lvlJc w:val="left"/>
      <w:pPr>
        <w:ind w:left="3948" w:hanging="360"/>
      </w:pPr>
    </w:lvl>
    <w:lvl w:ilvl="5" w:tplc="040A001B" w:tentative="1">
      <w:start w:val="1"/>
      <w:numFmt w:val="lowerRoman"/>
      <w:lvlText w:val="%6."/>
      <w:lvlJc w:val="right"/>
      <w:pPr>
        <w:ind w:left="4668" w:hanging="180"/>
      </w:pPr>
    </w:lvl>
    <w:lvl w:ilvl="6" w:tplc="040A000F" w:tentative="1">
      <w:start w:val="1"/>
      <w:numFmt w:val="decimal"/>
      <w:lvlText w:val="%7."/>
      <w:lvlJc w:val="left"/>
      <w:pPr>
        <w:ind w:left="5388" w:hanging="360"/>
      </w:pPr>
    </w:lvl>
    <w:lvl w:ilvl="7" w:tplc="040A0019" w:tentative="1">
      <w:start w:val="1"/>
      <w:numFmt w:val="lowerLetter"/>
      <w:lvlText w:val="%8."/>
      <w:lvlJc w:val="left"/>
      <w:pPr>
        <w:ind w:left="6108" w:hanging="360"/>
      </w:pPr>
    </w:lvl>
    <w:lvl w:ilvl="8" w:tplc="04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2391F8B"/>
    <w:multiLevelType w:val="hybridMultilevel"/>
    <w:tmpl w:val="4FCE0688"/>
    <w:lvl w:ilvl="0" w:tplc="9294D49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788" w:hanging="360"/>
      </w:pPr>
    </w:lvl>
    <w:lvl w:ilvl="2" w:tplc="040A001B" w:tentative="1">
      <w:start w:val="1"/>
      <w:numFmt w:val="lowerRoman"/>
      <w:lvlText w:val="%3."/>
      <w:lvlJc w:val="right"/>
      <w:pPr>
        <w:ind w:left="2508" w:hanging="180"/>
      </w:pPr>
    </w:lvl>
    <w:lvl w:ilvl="3" w:tplc="040A000F" w:tentative="1">
      <w:start w:val="1"/>
      <w:numFmt w:val="decimal"/>
      <w:lvlText w:val="%4."/>
      <w:lvlJc w:val="left"/>
      <w:pPr>
        <w:ind w:left="3228" w:hanging="360"/>
      </w:pPr>
    </w:lvl>
    <w:lvl w:ilvl="4" w:tplc="040A0019" w:tentative="1">
      <w:start w:val="1"/>
      <w:numFmt w:val="lowerLetter"/>
      <w:lvlText w:val="%5."/>
      <w:lvlJc w:val="left"/>
      <w:pPr>
        <w:ind w:left="3948" w:hanging="360"/>
      </w:pPr>
    </w:lvl>
    <w:lvl w:ilvl="5" w:tplc="040A001B" w:tentative="1">
      <w:start w:val="1"/>
      <w:numFmt w:val="lowerRoman"/>
      <w:lvlText w:val="%6."/>
      <w:lvlJc w:val="right"/>
      <w:pPr>
        <w:ind w:left="4668" w:hanging="180"/>
      </w:pPr>
    </w:lvl>
    <w:lvl w:ilvl="6" w:tplc="040A000F" w:tentative="1">
      <w:start w:val="1"/>
      <w:numFmt w:val="decimal"/>
      <w:lvlText w:val="%7."/>
      <w:lvlJc w:val="left"/>
      <w:pPr>
        <w:ind w:left="5388" w:hanging="360"/>
      </w:pPr>
    </w:lvl>
    <w:lvl w:ilvl="7" w:tplc="040A0019" w:tentative="1">
      <w:start w:val="1"/>
      <w:numFmt w:val="lowerLetter"/>
      <w:lvlText w:val="%8."/>
      <w:lvlJc w:val="left"/>
      <w:pPr>
        <w:ind w:left="6108" w:hanging="360"/>
      </w:pPr>
    </w:lvl>
    <w:lvl w:ilvl="8" w:tplc="04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9AC3D19"/>
    <w:multiLevelType w:val="hybridMultilevel"/>
    <w:tmpl w:val="EB5CC21C"/>
    <w:lvl w:ilvl="0" w:tplc="0CD0E59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788" w:hanging="360"/>
      </w:pPr>
    </w:lvl>
    <w:lvl w:ilvl="2" w:tplc="040A001B" w:tentative="1">
      <w:start w:val="1"/>
      <w:numFmt w:val="lowerRoman"/>
      <w:lvlText w:val="%3."/>
      <w:lvlJc w:val="right"/>
      <w:pPr>
        <w:ind w:left="2508" w:hanging="180"/>
      </w:pPr>
    </w:lvl>
    <w:lvl w:ilvl="3" w:tplc="040A000F" w:tentative="1">
      <w:start w:val="1"/>
      <w:numFmt w:val="decimal"/>
      <w:lvlText w:val="%4."/>
      <w:lvlJc w:val="left"/>
      <w:pPr>
        <w:ind w:left="3228" w:hanging="360"/>
      </w:pPr>
    </w:lvl>
    <w:lvl w:ilvl="4" w:tplc="040A0019" w:tentative="1">
      <w:start w:val="1"/>
      <w:numFmt w:val="lowerLetter"/>
      <w:lvlText w:val="%5."/>
      <w:lvlJc w:val="left"/>
      <w:pPr>
        <w:ind w:left="3948" w:hanging="360"/>
      </w:pPr>
    </w:lvl>
    <w:lvl w:ilvl="5" w:tplc="040A001B" w:tentative="1">
      <w:start w:val="1"/>
      <w:numFmt w:val="lowerRoman"/>
      <w:lvlText w:val="%6."/>
      <w:lvlJc w:val="right"/>
      <w:pPr>
        <w:ind w:left="4668" w:hanging="180"/>
      </w:pPr>
    </w:lvl>
    <w:lvl w:ilvl="6" w:tplc="040A000F" w:tentative="1">
      <w:start w:val="1"/>
      <w:numFmt w:val="decimal"/>
      <w:lvlText w:val="%7."/>
      <w:lvlJc w:val="left"/>
      <w:pPr>
        <w:ind w:left="5388" w:hanging="360"/>
      </w:pPr>
    </w:lvl>
    <w:lvl w:ilvl="7" w:tplc="040A0019" w:tentative="1">
      <w:start w:val="1"/>
      <w:numFmt w:val="lowerLetter"/>
      <w:lvlText w:val="%8."/>
      <w:lvlJc w:val="left"/>
      <w:pPr>
        <w:ind w:left="6108" w:hanging="360"/>
      </w:pPr>
    </w:lvl>
    <w:lvl w:ilvl="8" w:tplc="04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40C335DD"/>
    <w:multiLevelType w:val="hybridMultilevel"/>
    <w:tmpl w:val="0D9A3800"/>
    <w:lvl w:ilvl="0" w:tplc="040A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doNotDisplayPageBoundaries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6713"/>
    <w:rsid w:val="000D58F2"/>
    <w:rsid w:val="00116713"/>
    <w:rsid w:val="00141D07"/>
    <w:rsid w:val="0014390D"/>
    <w:rsid w:val="00160A90"/>
    <w:rsid w:val="001A5A45"/>
    <w:rsid w:val="001C6617"/>
    <w:rsid w:val="00261C36"/>
    <w:rsid w:val="002F09EF"/>
    <w:rsid w:val="0035010B"/>
    <w:rsid w:val="00370933"/>
    <w:rsid w:val="003D1E19"/>
    <w:rsid w:val="00500872"/>
    <w:rsid w:val="005E6883"/>
    <w:rsid w:val="006402DF"/>
    <w:rsid w:val="00772FCF"/>
    <w:rsid w:val="00806D8D"/>
    <w:rsid w:val="00842CC6"/>
    <w:rsid w:val="00905C80"/>
    <w:rsid w:val="009A6195"/>
    <w:rsid w:val="009E192E"/>
    <w:rsid w:val="00A54984"/>
    <w:rsid w:val="00B363A5"/>
    <w:rsid w:val="00B51ECB"/>
    <w:rsid w:val="00B71D43"/>
    <w:rsid w:val="00B948F5"/>
    <w:rsid w:val="00BA5159"/>
    <w:rsid w:val="00BB28E4"/>
    <w:rsid w:val="00BC43F9"/>
    <w:rsid w:val="00CB727E"/>
    <w:rsid w:val="00CE6846"/>
    <w:rsid w:val="00D93FF6"/>
    <w:rsid w:val="00DF010B"/>
    <w:rsid w:val="00E00D8D"/>
    <w:rsid w:val="00E2231B"/>
    <w:rsid w:val="00E30633"/>
    <w:rsid w:val="00E57B85"/>
    <w:rsid w:val="00E645C4"/>
    <w:rsid w:val="00E923CB"/>
    <w:rsid w:val="00EF185A"/>
    <w:rsid w:val="00F163C5"/>
    <w:rsid w:val="00FC302A"/>
    <w:rsid w:val="00FE6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C6F35E"/>
  <w15:chartTrackingRefBased/>
  <w15:docId w15:val="{8FF30BBF-F497-4D42-95B2-D9094378E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lang w:val="es-ES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1C36"/>
  </w:style>
  <w:style w:type="paragraph" w:styleId="Ttulo1">
    <w:name w:val="heading 1"/>
    <w:basedOn w:val="Normal"/>
    <w:next w:val="Normal"/>
    <w:link w:val="Ttulo1Car"/>
    <w:uiPriority w:val="9"/>
    <w:qFormat/>
    <w:rsid w:val="00261C36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61C36"/>
    <w:pPr>
      <w:spacing w:before="240" w:after="80"/>
      <w:jc w:val="left"/>
      <w:outlineLvl w:val="1"/>
    </w:pPr>
    <w:rPr>
      <w:smallCaps/>
      <w:spacing w:val="5"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61C36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61C36"/>
    <w:pPr>
      <w:spacing w:before="240" w:after="0"/>
      <w:jc w:val="left"/>
      <w:outlineLvl w:val="3"/>
    </w:pPr>
    <w:rPr>
      <w:smallCaps/>
      <w:spacing w:val="10"/>
      <w:sz w:val="22"/>
      <w:szCs w:val="22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61C36"/>
    <w:pPr>
      <w:spacing w:before="200" w:after="0"/>
      <w:jc w:val="left"/>
      <w:outlineLvl w:val="4"/>
    </w:pPr>
    <w:rPr>
      <w:smallCaps/>
      <w:color w:val="C45911" w:themeColor="accent2" w:themeShade="BF"/>
      <w:spacing w:val="10"/>
      <w:sz w:val="22"/>
      <w:szCs w:val="26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61C36"/>
    <w:pPr>
      <w:spacing w:after="0"/>
      <w:jc w:val="left"/>
      <w:outlineLvl w:val="5"/>
    </w:pPr>
    <w:rPr>
      <w:smallCaps/>
      <w:color w:val="ED7D31" w:themeColor="accent2"/>
      <w:spacing w:val="5"/>
      <w:sz w:val="22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61C36"/>
    <w:pPr>
      <w:spacing w:after="0"/>
      <w:jc w:val="left"/>
      <w:outlineLvl w:val="6"/>
    </w:pPr>
    <w:rPr>
      <w:b/>
      <w:smallCaps/>
      <w:color w:val="ED7D31" w:themeColor="accent2"/>
      <w:spacing w:val="10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61C36"/>
    <w:pPr>
      <w:spacing w:after="0"/>
      <w:jc w:val="left"/>
      <w:outlineLvl w:val="7"/>
    </w:pPr>
    <w:rPr>
      <w:b/>
      <w:i/>
      <w:smallCaps/>
      <w:color w:val="C45911" w:themeColor="accent2" w:themeShade="BF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61C36"/>
    <w:pPr>
      <w:spacing w:after="0"/>
      <w:jc w:val="left"/>
      <w:outlineLvl w:val="8"/>
    </w:pPr>
    <w:rPr>
      <w:b/>
      <w:i/>
      <w:smallCaps/>
      <w:color w:val="823B0B" w:themeColor="accent2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261C36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116713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116713"/>
    <w:rPr>
      <w:color w:val="605E5C"/>
      <w:shd w:val="clear" w:color="auto" w:fill="E1DFDD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61C36"/>
    <w:rPr>
      <w:smallCaps/>
      <w:color w:val="C45911" w:themeColor="accent2" w:themeShade="BF"/>
      <w:spacing w:val="10"/>
      <w:sz w:val="22"/>
      <w:szCs w:val="26"/>
    </w:rPr>
  </w:style>
  <w:style w:type="character" w:customStyle="1" w:styleId="Ttulo1Car">
    <w:name w:val="Título 1 Car"/>
    <w:basedOn w:val="Fuentedeprrafopredeter"/>
    <w:link w:val="Ttulo1"/>
    <w:uiPriority w:val="9"/>
    <w:rsid w:val="00261C36"/>
    <w:rPr>
      <w:smallCaps/>
      <w:spacing w:val="5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61C36"/>
    <w:rPr>
      <w:smallCaps/>
      <w:spacing w:val="5"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61C36"/>
    <w:rPr>
      <w:smallCaps/>
      <w:spacing w:val="5"/>
      <w:sz w:val="24"/>
      <w:szCs w:val="24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61C36"/>
    <w:rPr>
      <w:smallCaps/>
      <w:spacing w:val="10"/>
      <w:sz w:val="22"/>
      <w:szCs w:val="22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61C36"/>
    <w:rPr>
      <w:smallCaps/>
      <w:color w:val="ED7D31" w:themeColor="accent2"/>
      <w:spacing w:val="5"/>
      <w:sz w:val="22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61C36"/>
    <w:rPr>
      <w:b/>
      <w:smallCaps/>
      <w:color w:val="ED7D31" w:themeColor="accent2"/>
      <w:spacing w:val="10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61C36"/>
    <w:rPr>
      <w:b/>
      <w:i/>
      <w:smallCaps/>
      <w:color w:val="C45911" w:themeColor="accent2" w:themeShade="BF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61C36"/>
    <w:rPr>
      <w:b/>
      <w:i/>
      <w:smallCaps/>
      <w:color w:val="823B0B" w:themeColor="accent2" w:themeShade="7F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261C36"/>
    <w:rPr>
      <w:b/>
      <w:bCs/>
      <w:caps/>
      <w:sz w:val="16"/>
      <w:szCs w:val="18"/>
    </w:rPr>
  </w:style>
  <w:style w:type="paragraph" w:styleId="Ttulo">
    <w:name w:val="Title"/>
    <w:basedOn w:val="Normal"/>
    <w:next w:val="Normal"/>
    <w:link w:val="TtuloCar"/>
    <w:uiPriority w:val="10"/>
    <w:qFormat/>
    <w:rsid w:val="00261C36"/>
    <w:pPr>
      <w:pBdr>
        <w:top w:val="single" w:sz="12" w:space="1" w:color="ED7D31" w:themeColor="accent2"/>
      </w:pBdr>
      <w:spacing w:line="240" w:lineRule="auto"/>
      <w:jc w:val="right"/>
    </w:pPr>
    <w:rPr>
      <w:smallCaps/>
      <w:sz w:val="48"/>
      <w:szCs w:val="48"/>
    </w:rPr>
  </w:style>
  <w:style w:type="character" w:customStyle="1" w:styleId="TtuloCar">
    <w:name w:val="Título Car"/>
    <w:basedOn w:val="Fuentedeprrafopredeter"/>
    <w:link w:val="Ttulo"/>
    <w:uiPriority w:val="10"/>
    <w:rsid w:val="00261C36"/>
    <w:rPr>
      <w:smallCaps/>
      <w:sz w:val="48"/>
      <w:szCs w:val="48"/>
    </w:rPr>
  </w:style>
  <w:style w:type="paragraph" w:styleId="Subttulo">
    <w:name w:val="Subtitle"/>
    <w:basedOn w:val="Normal"/>
    <w:next w:val="Normal"/>
    <w:link w:val="SubttuloCar"/>
    <w:uiPriority w:val="11"/>
    <w:qFormat/>
    <w:rsid w:val="00261C36"/>
    <w:pPr>
      <w:spacing w:after="720" w:line="240" w:lineRule="auto"/>
      <w:jc w:val="right"/>
    </w:pPr>
    <w:rPr>
      <w:rFonts w:asciiTheme="majorHAnsi" w:eastAsiaTheme="majorEastAsia" w:hAnsiTheme="majorHAnsi" w:cstheme="majorBidi"/>
      <w:szCs w:val="22"/>
    </w:rPr>
  </w:style>
  <w:style w:type="character" w:customStyle="1" w:styleId="SubttuloCar">
    <w:name w:val="Subtítulo Car"/>
    <w:basedOn w:val="Fuentedeprrafopredeter"/>
    <w:link w:val="Subttulo"/>
    <w:uiPriority w:val="11"/>
    <w:rsid w:val="00261C36"/>
    <w:rPr>
      <w:rFonts w:asciiTheme="majorHAnsi" w:eastAsiaTheme="majorEastAsia" w:hAnsiTheme="majorHAnsi" w:cstheme="majorBidi"/>
      <w:szCs w:val="22"/>
    </w:rPr>
  </w:style>
  <w:style w:type="character" w:styleId="Textoennegrita">
    <w:name w:val="Strong"/>
    <w:uiPriority w:val="22"/>
    <w:qFormat/>
    <w:rsid w:val="00261C36"/>
    <w:rPr>
      <w:b/>
      <w:color w:val="ED7D31" w:themeColor="accent2"/>
    </w:rPr>
  </w:style>
  <w:style w:type="character" w:styleId="nfasis">
    <w:name w:val="Emphasis"/>
    <w:uiPriority w:val="20"/>
    <w:qFormat/>
    <w:rsid w:val="00261C36"/>
    <w:rPr>
      <w:b/>
      <w:i/>
      <w:spacing w:val="10"/>
    </w:rPr>
  </w:style>
  <w:style w:type="paragraph" w:styleId="Sinespaciado">
    <w:name w:val="No Spacing"/>
    <w:basedOn w:val="Normal"/>
    <w:link w:val="SinespaciadoCar"/>
    <w:uiPriority w:val="1"/>
    <w:qFormat/>
    <w:rsid w:val="00261C36"/>
    <w:pPr>
      <w:spacing w:after="0" w:line="240" w:lineRule="auto"/>
    </w:pPr>
  </w:style>
  <w:style w:type="character" w:customStyle="1" w:styleId="SinespaciadoCar">
    <w:name w:val="Sin espaciado Car"/>
    <w:basedOn w:val="Fuentedeprrafopredeter"/>
    <w:link w:val="Sinespaciado"/>
    <w:uiPriority w:val="1"/>
    <w:rsid w:val="00261C36"/>
  </w:style>
  <w:style w:type="paragraph" w:styleId="Cita">
    <w:name w:val="Quote"/>
    <w:basedOn w:val="Normal"/>
    <w:next w:val="Normal"/>
    <w:link w:val="CitaCar"/>
    <w:uiPriority w:val="29"/>
    <w:qFormat/>
    <w:rsid w:val="00261C36"/>
    <w:rPr>
      <w:i/>
    </w:rPr>
  </w:style>
  <w:style w:type="character" w:customStyle="1" w:styleId="CitaCar">
    <w:name w:val="Cita Car"/>
    <w:basedOn w:val="Fuentedeprrafopredeter"/>
    <w:link w:val="Cita"/>
    <w:uiPriority w:val="29"/>
    <w:rsid w:val="00261C36"/>
    <w:rPr>
      <w:i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261C36"/>
    <w:pPr>
      <w:pBdr>
        <w:top w:val="single" w:sz="8" w:space="10" w:color="C45911" w:themeColor="accent2" w:themeShade="BF"/>
        <w:left w:val="single" w:sz="8" w:space="10" w:color="C45911" w:themeColor="accent2" w:themeShade="BF"/>
        <w:bottom w:val="single" w:sz="8" w:space="10" w:color="C45911" w:themeColor="accent2" w:themeShade="BF"/>
        <w:right w:val="single" w:sz="8" w:space="10" w:color="C45911" w:themeColor="accent2" w:themeShade="BF"/>
      </w:pBdr>
      <w:shd w:val="clear" w:color="auto" w:fill="ED7D31" w:themeFill="accent2"/>
      <w:spacing w:before="140" w:after="140"/>
      <w:ind w:left="1440" w:right="1440"/>
    </w:pPr>
    <w:rPr>
      <w:b/>
      <w:i/>
      <w:color w:val="FFFFFF" w:themeColor="background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261C36"/>
    <w:rPr>
      <w:b/>
      <w:i/>
      <w:color w:val="FFFFFF" w:themeColor="background1"/>
      <w:shd w:val="clear" w:color="auto" w:fill="ED7D31" w:themeFill="accent2"/>
    </w:rPr>
  </w:style>
  <w:style w:type="character" w:styleId="nfasissutil">
    <w:name w:val="Subtle Emphasis"/>
    <w:uiPriority w:val="19"/>
    <w:qFormat/>
    <w:rsid w:val="00261C36"/>
    <w:rPr>
      <w:i/>
    </w:rPr>
  </w:style>
  <w:style w:type="character" w:styleId="nfasisintenso">
    <w:name w:val="Intense Emphasis"/>
    <w:uiPriority w:val="21"/>
    <w:qFormat/>
    <w:rsid w:val="00261C36"/>
    <w:rPr>
      <w:b/>
      <w:i/>
      <w:color w:val="ED7D31" w:themeColor="accent2"/>
      <w:spacing w:val="10"/>
    </w:rPr>
  </w:style>
  <w:style w:type="character" w:styleId="Referenciasutil">
    <w:name w:val="Subtle Reference"/>
    <w:uiPriority w:val="31"/>
    <w:qFormat/>
    <w:rsid w:val="00261C36"/>
    <w:rPr>
      <w:b/>
    </w:rPr>
  </w:style>
  <w:style w:type="character" w:styleId="Referenciaintensa">
    <w:name w:val="Intense Reference"/>
    <w:uiPriority w:val="32"/>
    <w:qFormat/>
    <w:rsid w:val="00261C36"/>
    <w:rPr>
      <w:b/>
      <w:bCs/>
      <w:smallCaps/>
      <w:spacing w:val="5"/>
      <w:sz w:val="22"/>
      <w:szCs w:val="22"/>
      <w:u w:val="single"/>
    </w:rPr>
  </w:style>
  <w:style w:type="character" w:styleId="Ttulodellibro">
    <w:name w:val="Book Title"/>
    <w:uiPriority w:val="33"/>
    <w:qFormat/>
    <w:rsid w:val="00261C36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261C36"/>
    <w:pPr>
      <w:outlineLvl w:val="9"/>
    </w:pPr>
  </w:style>
  <w:style w:type="paragraph" w:customStyle="1" w:styleId="Default">
    <w:name w:val="Default"/>
    <w:rsid w:val="00806D8D"/>
    <w:pPr>
      <w:autoSpaceDE w:val="0"/>
      <w:autoSpaceDN w:val="0"/>
      <w:adjustRightInd w:val="0"/>
      <w:spacing w:after="0" w:line="240" w:lineRule="auto"/>
      <w:jc w:val="left"/>
    </w:pPr>
    <w:rPr>
      <w:rFonts w:ascii="Arial" w:hAnsi="Arial" w:cs="Arial"/>
      <w:color w:val="000000"/>
      <w:sz w:val="24"/>
      <w:szCs w:val="24"/>
      <w:lang w:val="es-ES_tradnl"/>
    </w:rPr>
  </w:style>
  <w:style w:type="character" w:styleId="Hipervnculovisitado">
    <w:name w:val="FollowedHyperlink"/>
    <w:basedOn w:val="Fuentedeprrafopredeter"/>
    <w:uiPriority w:val="99"/>
    <w:semiHidden/>
    <w:unhideWhenUsed/>
    <w:rsid w:val="00EF185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250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4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4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8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8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3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36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2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1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0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3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8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9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9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4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5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7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9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8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34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402</Words>
  <Characters>2211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Jesus Freire</cp:lastModifiedBy>
  <cp:revision>5</cp:revision>
  <dcterms:created xsi:type="dcterms:W3CDTF">2021-06-23T08:30:00Z</dcterms:created>
  <dcterms:modified xsi:type="dcterms:W3CDTF">2021-06-23T10:51:00Z</dcterms:modified>
</cp:coreProperties>
</file>